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77" w:rsidRPr="00DB579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DB5790">
        <w:rPr>
          <w:b/>
          <w:bCs/>
          <w:color w:val="000000"/>
          <w:sz w:val="20"/>
          <w:szCs w:val="20"/>
        </w:rPr>
        <w:t>Школьный этап</w:t>
      </w:r>
    </w:p>
    <w:p w:rsidR="00AF1A77" w:rsidRPr="00DB579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r w:rsidRPr="00DB5790">
        <w:rPr>
          <w:b/>
          <w:bCs/>
          <w:color w:val="000000"/>
          <w:sz w:val="20"/>
          <w:szCs w:val="20"/>
        </w:rPr>
        <w:t>Всероссийской олимпиады школьников по русскому языку</w:t>
      </w:r>
    </w:p>
    <w:p w:rsidR="00AF1A77" w:rsidRPr="00DB579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DB5790">
        <w:rPr>
          <w:b/>
          <w:bCs/>
          <w:color w:val="000000"/>
          <w:sz w:val="20"/>
          <w:szCs w:val="20"/>
        </w:rPr>
        <w:t>2019/2020 учебный год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DB5790">
        <w:rPr>
          <w:sz w:val="20"/>
          <w:szCs w:val="20"/>
        </w:rPr>
        <w:t>11 класс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DB5790">
        <w:rPr>
          <w:sz w:val="20"/>
          <w:szCs w:val="20"/>
        </w:rPr>
        <w:t>Критерии оценивания</w:t>
      </w:r>
    </w:p>
    <w:p w:rsidR="00AF1A77" w:rsidRPr="00DB5790" w:rsidRDefault="00AF1A77" w:rsidP="004B4790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DB5790" w:rsidRDefault="00DB5790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DB5790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сформированности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аналитических, филологических навыков. В определении методов и приёмов анализа, порядка изложения своих мыслей ученик может опираться на пре</w:t>
      </w:r>
      <w:r w:rsidRPr="00DB5790">
        <w:rPr>
          <w:rFonts w:ascii="Times New Roman" w:hAnsi="Times New Roman" w:cs="Times New Roman"/>
          <w:sz w:val="20"/>
          <w:szCs w:val="20"/>
        </w:rPr>
        <w:t>д</w:t>
      </w:r>
      <w:r w:rsidRPr="00DB5790">
        <w:rPr>
          <w:rFonts w:ascii="Times New Roman" w:hAnsi="Times New Roman" w:cs="Times New Roman"/>
          <w:sz w:val="20"/>
          <w:szCs w:val="20"/>
        </w:rPr>
        <w:t xml:space="preserve">ложенные вспомогательные вопросы, а </w:t>
      </w:r>
      <w:r w:rsidRPr="00DB5790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</w:t>
      </w:r>
      <w:r w:rsidRPr="00DB5790">
        <w:rPr>
          <w:rFonts w:ascii="Times New Roman" w:hAnsi="Times New Roman" w:cs="Times New Roman"/>
          <w:b/>
          <w:sz w:val="20"/>
          <w:szCs w:val="20"/>
        </w:rPr>
        <w:t>о</w:t>
      </w:r>
      <w:r w:rsidRPr="00DB5790">
        <w:rPr>
          <w:rFonts w:ascii="Times New Roman" w:hAnsi="Times New Roman" w:cs="Times New Roman"/>
          <w:b/>
          <w:sz w:val="20"/>
          <w:szCs w:val="20"/>
        </w:rPr>
        <w:t>сов</w:t>
      </w:r>
      <w:r w:rsidRPr="00DB5790">
        <w:rPr>
          <w:rFonts w:ascii="Times New Roman" w:hAnsi="Times New Roman" w:cs="Times New Roman"/>
          <w:sz w:val="20"/>
          <w:szCs w:val="20"/>
        </w:rPr>
        <w:t xml:space="preserve"> и пр.</w:t>
      </w:r>
      <w:r w:rsidR="004B4790" w:rsidRPr="00DB5790">
        <w:rPr>
          <w:rFonts w:ascii="Times New Roman" w:hAnsi="Times New Roman" w:cs="Times New Roman"/>
          <w:sz w:val="20"/>
          <w:szCs w:val="20"/>
        </w:rPr>
        <w:t>; их назначение</w:t>
      </w:r>
      <w:r w:rsidR="00875983">
        <w:rPr>
          <w:rFonts w:ascii="Times New Roman" w:hAnsi="Times New Roman" w:cs="Times New Roman"/>
          <w:sz w:val="20"/>
          <w:szCs w:val="20"/>
        </w:rPr>
        <w:t xml:space="preserve"> 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>
        <w:rPr>
          <w:rFonts w:ascii="Times New Roman" w:hAnsi="Times New Roman" w:cs="Times New Roman"/>
          <w:sz w:val="20"/>
          <w:szCs w:val="20"/>
        </w:rPr>
        <w:t>и оценивать надо работу в целом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. </w:t>
      </w:r>
      <w:r w:rsidRPr="00DB5790">
        <w:rPr>
          <w:rFonts w:ascii="Times New Roman" w:hAnsi="Times New Roman" w:cs="Times New Roman"/>
          <w:sz w:val="20"/>
          <w:szCs w:val="20"/>
        </w:rPr>
        <w:t>Важно, чтобы анализ текста приводил ученика-читателя к главному –</w:t>
      </w:r>
      <w:r w:rsidR="00DB5790">
        <w:rPr>
          <w:rFonts w:ascii="Times New Roman" w:hAnsi="Times New Roman" w:cs="Times New Roman"/>
          <w:sz w:val="20"/>
          <w:szCs w:val="20"/>
        </w:rPr>
        <w:t xml:space="preserve"> </w:t>
      </w:r>
      <w:r w:rsidR="00DB5790" w:rsidRPr="00DB5790">
        <w:rPr>
          <w:rFonts w:ascii="Times New Roman" w:hAnsi="Times New Roman" w:cs="Times New Roman"/>
          <w:sz w:val="20"/>
          <w:szCs w:val="20"/>
        </w:rPr>
        <w:t>создани</w:t>
      </w:r>
      <w:r w:rsidR="00DB5790">
        <w:rPr>
          <w:rFonts w:ascii="Times New Roman" w:hAnsi="Times New Roman" w:cs="Times New Roman"/>
          <w:sz w:val="20"/>
          <w:szCs w:val="20"/>
        </w:rPr>
        <w:t>е</w:t>
      </w:r>
      <w:r w:rsidR="00DB5790" w:rsidRPr="00DB5790">
        <w:rPr>
          <w:rFonts w:ascii="Times New Roman" w:hAnsi="Times New Roman" w:cs="Times New Roman"/>
          <w:sz w:val="20"/>
          <w:szCs w:val="20"/>
        </w:rPr>
        <w:t xml:space="preserve"> цельного, связного, объединённого общим замыслом ан</w:t>
      </w:r>
      <w:r w:rsidR="00DB5790" w:rsidRPr="00DB5790">
        <w:rPr>
          <w:rFonts w:ascii="Times New Roman" w:hAnsi="Times New Roman" w:cs="Times New Roman"/>
          <w:sz w:val="20"/>
          <w:szCs w:val="20"/>
        </w:rPr>
        <w:t>а</w:t>
      </w:r>
      <w:r w:rsidR="00DB5790" w:rsidRPr="00DB5790">
        <w:rPr>
          <w:rFonts w:ascii="Times New Roman" w:hAnsi="Times New Roman" w:cs="Times New Roman"/>
          <w:sz w:val="20"/>
          <w:szCs w:val="20"/>
        </w:rPr>
        <w:t>литического текста</w:t>
      </w:r>
      <w:r w:rsidR="00DB5790">
        <w:rPr>
          <w:rFonts w:ascii="Times New Roman" w:hAnsi="Times New Roman" w:cs="Times New Roman"/>
          <w:sz w:val="20"/>
          <w:szCs w:val="20"/>
        </w:rPr>
        <w:t xml:space="preserve">, к </w:t>
      </w:r>
      <w:r w:rsidRPr="00DB5790">
        <w:rPr>
          <w:rFonts w:ascii="Times New Roman" w:hAnsi="Times New Roman" w:cs="Times New Roman"/>
          <w:sz w:val="20"/>
          <w:szCs w:val="20"/>
        </w:rPr>
        <w:t>пониманию автора, смысла его высказывания, его позиции, способов, которыми он эту позицию в</w:t>
      </w:r>
      <w:r w:rsidRPr="00DB5790">
        <w:rPr>
          <w:rFonts w:ascii="Times New Roman" w:hAnsi="Times New Roman" w:cs="Times New Roman"/>
          <w:sz w:val="20"/>
          <w:szCs w:val="20"/>
        </w:rPr>
        <w:t>ы</w:t>
      </w:r>
      <w:r w:rsidRPr="00DB5790">
        <w:rPr>
          <w:rFonts w:ascii="Times New Roman" w:hAnsi="Times New Roman" w:cs="Times New Roman"/>
          <w:sz w:val="20"/>
          <w:szCs w:val="20"/>
        </w:rPr>
        <w:t>разил. Под «целостным анализом текста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DB5790">
        <w:rPr>
          <w:rFonts w:ascii="Times New Roman" w:hAnsi="Times New Roman" w:cs="Times New Roman"/>
          <w:sz w:val="20"/>
          <w:szCs w:val="20"/>
        </w:rPr>
        <w:t>обязательный учет и скрупулёзное описание всех его стру</w:t>
      </w:r>
      <w:r w:rsidRPr="00DB5790">
        <w:rPr>
          <w:rFonts w:ascii="Times New Roman" w:hAnsi="Times New Roman" w:cs="Times New Roman"/>
          <w:sz w:val="20"/>
          <w:szCs w:val="20"/>
        </w:rPr>
        <w:t>к</w:t>
      </w:r>
      <w:r w:rsidRPr="00DB5790">
        <w:rPr>
          <w:rFonts w:ascii="Times New Roman" w:hAnsi="Times New Roman" w:cs="Times New Roman"/>
          <w:sz w:val="20"/>
          <w:szCs w:val="20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. Нужно остановиться на </w:t>
      </w:r>
      <w:r w:rsidR="00875983" w:rsidRPr="00DB5790">
        <w:rPr>
          <w:rFonts w:ascii="Times New Roman" w:hAnsi="Times New Roman" w:cs="Times New Roman"/>
          <w:sz w:val="20"/>
          <w:szCs w:val="20"/>
        </w:rPr>
        <w:t>актуализированных</w:t>
      </w:r>
      <w:r w:rsidRPr="00DB5790">
        <w:rPr>
          <w:rFonts w:ascii="Times New Roman" w:hAnsi="Times New Roman" w:cs="Times New Roman"/>
          <w:sz w:val="20"/>
          <w:szCs w:val="20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ту шкалу оценок, которая прилагается к каждому критерию.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 xml:space="preserve">Она соответствует привычной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DB5790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числа, кратные 10</w:t>
      </w:r>
      <w:r w:rsidRPr="00DB5790">
        <w:rPr>
          <w:rFonts w:ascii="Times New Roman" w:hAnsi="Times New Roman" w:cs="Times New Roman"/>
          <w:sz w:val="20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</w:t>
      </w:r>
      <w:r w:rsidRPr="00DB5790">
        <w:rPr>
          <w:rFonts w:ascii="Times New Roman" w:hAnsi="Times New Roman" w:cs="Times New Roman"/>
          <w:sz w:val="20"/>
          <w:szCs w:val="20"/>
        </w:rPr>
        <w:t>у</w:t>
      </w:r>
      <w:r w:rsidRPr="00DB5790">
        <w:rPr>
          <w:rFonts w:ascii="Times New Roman" w:hAnsi="Times New Roman" w:cs="Times New Roman"/>
          <w:sz w:val="20"/>
          <w:szCs w:val="20"/>
        </w:rPr>
        <w:t xml:space="preserve">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проверяющим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«зарубок», ориентированных на привычную модель оценивания, поможет избежать излишних расхождений в таком суб</w:t>
      </w:r>
      <w:r w:rsidRPr="00DB5790">
        <w:rPr>
          <w:rFonts w:ascii="Times New Roman" w:hAnsi="Times New Roman" w:cs="Times New Roman"/>
          <w:sz w:val="20"/>
          <w:szCs w:val="20"/>
        </w:rPr>
        <w:t>ъ</w:t>
      </w:r>
      <w:r w:rsidRPr="00DB5790">
        <w:rPr>
          <w:rFonts w:ascii="Times New Roman" w:hAnsi="Times New Roman" w:cs="Times New Roman"/>
          <w:sz w:val="20"/>
          <w:szCs w:val="20"/>
        </w:rPr>
        <w:t>ективном процессе, как оценивание письменных текстов. Оценка за работу выставляется сначала в виде последовательн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КРИТЕРИИ: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DB5790">
        <w:rPr>
          <w:rFonts w:ascii="Times New Roman" w:hAnsi="Times New Roman" w:cs="Times New Roman"/>
          <w:sz w:val="20"/>
          <w:szCs w:val="20"/>
        </w:rPr>
        <w:t>1. Понимание произведения как «сложно построенного смысла» (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Ю.М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>. Лотман), последовательное и адекватное раскрытие этого смысла в динамике, в «лабиринте сцеплений», через конкретные наблюдения, сделанные по тексту. Важно обратить внимание на то, что внешне простой р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ассказ о том, как у старика умерла жена и он утратил смысл жизни, </w:t>
      </w:r>
      <w:proofErr w:type="gramStart"/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—э</w:t>
      </w:r>
      <w:proofErr w:type="gramEnd"/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то повод для разговора о том, что любовь дает жизни смысл, как хрупка человеческая жизнь. Потому рассказ завершается тем, что старик, поплакав на могиле жены, переступает через низенькую оградку, не открывая калитки, и вдруг задумыв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а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ется: что же такое человеческая жизнь? Вот так перешагнул — и ты в мире живых, перешагнул обратно — и ты уже в к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а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ком-то другом мире. В анализе рассказа важно увидеть, что повествователь передаёт мироощущение своего героя, человека малообразованного, грубоватого, не умевшего рефлексировать, которому и сейчас сложно «думать». Такое «</w:t>
      </w:r>
      <w:proofErr w:type="spellStart"/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полупрозр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е</w:t>
      </w:r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ние</w:t>
      </w:r>
      <w:proofErr w:type="spellEnd"/>
      <w:r w:rsidRPr="00DB5790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» героя часто становится сюжетом мировой и русской литературы.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Максимально 30 баллов. Шкала оценок: 0 – 10 – 20 – 30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</w:t>
      </w:r>
      <w:r w:rsidRPr="00DB5790">
        <w:rPr>
          <w:rFonts w:ascii="Times New Roman" w:hAnsi="Times New Roman" w:cs="Times New Roman"/>
          <w:sz w:val="20"/>
          <w:szCs w:val="20"/>
        </w:rPr>
        <w:t>а</w:t>
      </w:r>
      <w:r w:rsidRPr="00DB5790">
        <w:rPr>
          <w:rFonts w:ascii="Times New Roman" w:hAnsi="Times New Roman" w:cs="Times New Roman"/>
          <w:sz w:val="20"/>
          <w:szCs w:val="20"/>
        </w:rPr>
        <w:t xml:space="preserve">ла оценок: 0 – 3 – 7 – 10 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4. Историко-литературная эрудиция, отсутствие фактических ошибок, уместность использования фонового матери</w:t>
      </w:r>
      <w:r w:rsidRPr="00DB5790">
        <w:rPr>
          <w:rFonts w:ascii="Times New Roman" w:hAnsi="Times New Roman" w:cs="Times New Roman"/>
          <w:sz w:val="20"/>
          <w:szCs w:val="20"/>
        </w:rPr>
        <w:t>а</w:t>
      </w:r>
      <w:r w:rsidRPr="00DB5790">
        <w:rPr>
          <w:rFonts w:ascii="Times New Roman" w:hAnsi="Times New Roman" w:cs="Times New Roman"/>
          <w:sz w:val="20"/>
          <w:szCs w:val="20"/>
        </w:rPr>
        <w:t xml:space="preserve">ла из области культуры и литературы. Максимально 10 баллов. Шкала оценок: 0 – 3 – 7 – 10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 xml:space="preserve">Примечание 1: сплошная проверка работы по привычным школьным критериям грамотности с полным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подсчѐтом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ошибок не предусматривается.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При наличии в работе речевых, грамматических, а также орфографических и пунктуационных ош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Pr="00DB5790">
        <w:rPr>
          <w:rFonts w:ascii="Times New Roman" w:hAnsi="Times New Roman" w:cs="Times New Roman"/>
          <w:sz w:val="20"/>
          <w:szCs w:val="20"/>
        </w:rPr>
        <w:t xml:space="preserve">бок, затрудняющих чтение и понимание текста, обращающих на себя внимание и отвлекающих от чтения (в среднем более </w:t>
      </w:r>
      <w:proofErr w:type="spellStart"/>
      <w:proofErr w:type="gramStart"/>
      <w:r w:rsidRPr="00DB5790">
        <w:rPr>
          <w:rFonts w:ascii="Times New Roman" w:hAnsi="Times New Roman" w:cs="Times New Roman"/>
          <w:sz w:val="20"/>
          <w:szCs w:val="20"/>
        </w:rPr>
        <w:t>тр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ѐх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ошибок на страницу текста), работа по этому критерию получает ноль баллов.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4B4790" w:rsidRPr="00DB5790" w:rsidRDefault="004B4790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lastRenderedPageBreak/>
        <w:t>Задание 2.</w:t>
      </w:r>
      <w:r w:rsidRPr="00DB5790"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Современная теория литературы выявила ряд «универсальных сюжетов», инвариантов, к которым тяготеет большинство произведений. Назовем еще некоторые: «отцы и дети» (взаимоотношения поколений), «робинзонада» (выж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Pr="00DB5790">
        <w:rPr>
          <w:rFonts w:ascii="Times New Roman" w:hAnsi="Times New Roman" w:cs="Times New Roman"/>
          <w:sz w:val="20"/>
          <w:szCs w:val="20"/>
        </w:rPr>
        <w:t>вание в сложных условиях») и пр.</w:t>
      </w:r>
    </w:p>
    <w:p w:rsidR="004B4790" w:rsidRPr="00DB5790" w:rsidRDefault="004B4790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 оценивания: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1. </w:t>
      </w:r>
      <w:r w:rsidR="004B4790" w:rsidRPr="00DB5790">
        <w:rPr>
          <w:rFonts w:ascii="Times New Roman" w:hAnsi="Times New Roman" w:cs="Times New Roman"/>
          <w:sz w:val="20"/>
          <w:szCs w:val="20"/>
        </w:rPr>
        <w:t>Выявление «универсального сюжета», объяснение его универсальности – по 4 за каждый, но не более 16 баллов.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2. 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Уместность названия «универсального сюжета» </w:t>
      </w:r>
      <w:r w:rsidRPr="00DB5790">
        <w:rPr>
          <w:rFonts w:ascii="Times New Roman" w:hAnsi="Times New Roman" w:cs="Times New Roman"/>
          <w:sz w:val="20"/>
          <w:szCs w:val="20"/>
        </w:rPr>
        <w:t xml:space="preserve"> – 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 по 2 балла за каждый, не более 8 баллов в целом.</w:t>
      </w:r>
    </w:p>
    <w:p w:rsidR="004B4790" w:rsidRDefault="004B4790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3. Аргументированность приведенных примеров, конкретных произведений, которые относятся к этим типам сюж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 w:rsidRPr="00DB5790">
        <w:rPr>
          <w:rFonts w:ascii="Times New Roman" w:hAnsi="Times New Roman" w:cs="Times New Roman"/>
          <w:sz w:val="20"/>
          <w:szCs w:val="20"/>
        </w:rPr>
        <w:t>тов – до 6 баллов.</w:t>
      </w:r>
    </w:p>
    <w:p w:rsidR="00A05858" w:rsidRPr="00397E4C" w:rsidRDefault="00A0585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397E4C">
        <w:rPr>
          <w:rFonts w:ascii="Times New Roman" w:hAnsi="Times New Roman" w:cs="Times New Roman"/>
          <w:b/>
          <w:sz w:val="20"/>
          <w:szCs w:val="20"/>
        </w:rPr>
        <w:t>Максимальный балл 30.</w:t>
      </w:r>
      <w:bookmarkEnd w:id="0"/>
    </w:p>
    <w:sectPr w:rsidR="00A05858" w:rsidRPr="00397E4C" w:rsidSect="00DB5790">
      <w:pgSz w:w="11906" w:h="16838"/>
      <w:pgMar w:top="1134" w:right="282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97E4C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4107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2019-09-24T05:58:00Z</dcterms:created>
  <dcterms:modified xsi:type="dcterms:W3CDTF">2019-10-07T04:29:00Z</dcterms:modified>
</cp:coreProperties>
</file>